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3E" w:rsidRPr="000455B7" w:rsidRDefault="00941CD0" w:rsidP="000455B7">
      <w:pPr>
        <w:jc w:val="center"/>
        <w:rPr>
          <w:b/>
          <w:bCs/>
          <w:sz w:val="40"/>
          <w:szCs w:val="40"/>
          <w:rtl/>
        </w:rPr>
      </w:pPr>
      <w:r w:rsidRPr="000455B7">
        <w:rPr>
          <w:rFonts w:hint="cs"/>
          <w:b/>
          <w:bCs/>
          <w:sz w:val="40"/>
          <w:szCs w:val="40"/>
          <w:rtl/>
        </w:rPr>
        <w:t>ضوابط الترهيب في الدعوة إلى الله</w:t>
      </w:r>
    </w:p>
    <w:p w:rsidR="00E95AE9" w:rsidRPr="000455B7" w:rsidRDefault="00E95AE9" w:rsidP="000455B7">
      <w:pPr>
        <w:jc w:val="center"/>
        <w:rPr>
          <w:b/>
          <w:bCs/>
          <w:sz w:val="40"/>
          <w:szCs w:val="40"/>
          <w:rtl/>
        </w:rPr>
      </w:pPr>
      <w:r w:rsidRPr="000455B7">
        <w:rPr>
          <w:rFonts w:hint="cs"/>
          <w:b/>
          <w:bCs/>
          <w:sz w:val="40"/>
          <w:szCs w:val="40"/>
          <w:rtl/>
        </w:rPr>
        <w:t>د. عصام عبد ربه محمد مشاحيت</w:t>
      </w:r>
    </w:p>
    <w:p w:rsidR="00941CD0" w:rsidRPr="000455B7" w:rsidRDefault="000455B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تحدثت في المقال السابق حول ضوابط الترغيب في الدعوة إلى الله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عز وجل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ونتحدث في هذا المقال بعون الله ومدده وتوفيقه وكرمه وإحسانه حول ضوابط الترهيب في الدعوة إلى الله فأقول :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ضوابط الترهيب كثيرة ، يجب على الداعية أن يأخذها بعين الاعتبار في دعوته إلى الله منها على سبيل الذكر لا الحصر : </w:t>
      </w: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الاعتماد في الترهيب على ما جاء في القرآن الكريم والسنة الصحيحة :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فعلى الداعية إذا أراد أن يرهب من معصية ، أن يلجأ إلى القرآن الكريم والسنة النبوية الشريفة ، </w:t>
      </w:r>
      <w:r w:rsidRPr="00A846F2">
        <w:rPr>
          <w:rFonts w:ascii="Arial" w:eastAsia="Times New Roman" w:hAnsi="Arial" w:cs="Arial"/>
          <w:sz w:val="36"/>
          <w:szCs w:val="36"/>
          <w:rtl/>
        </w:rPr>
        <w:t>فمددهما فياض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بأوفى ما عرف العلم من ضروب الترهيب وفنون الوعيد وأساليب الإنذار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على وجوه مختلفة واعتبارات متنوعة في العقائد والعبادات والمعاملات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والأخلاق على سواء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.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أن يكون الترهيب بالله تعالى أو بصفاته : </w:t>
      </w:r>
    </w:p>
    <w:p w:rsidR="00941CD0" w:rsidRPr="00A846F2" w:rsidRDefault="00941CD0" w:rsidP="00251FA7">
      <w:pPr>
        <w:spacing w:after="0" w:line="240" w:lineRule="atLeast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وهذا هو الأصل في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الترهيب مع عدم الغفلة عن الترهيب بعذاب الله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>هذا هو نهج القرآن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الكريم والسنة المطهرة وأفعال السلف .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فقد أمر تعالى بالرهبة والخوف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منه وعدم الأمن من مكره فقال تعالى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: (</w:t>
      </w:r>
      <w:r w:rsidRPr="00A846F2">
        <w:rPr>
          <w:rFonts w:ascii="Arial" w:eastAsia="Times New Roman" w:hAnsi="Arial" w:cs="Arial"/>
          <w:sz w:val="36"/>
          <w:szCs w:val="36"/>
          <w:rtl/>
        </w:rPr>
        <w:t>يَا بَنِي إِسْرَائِيلَ اذْكُرُوا نِعْمَتِيَ الَّتِي أَنْعَمْتُ عَلَيْكُمْ وَأَوْفُوا بِعَهْدِي أُوفِ بِعَهْدِكُمْ وَإِيَّايَ فَارْهَبُونِ</w:t>
      </w:r>
      <w:r w:rsidRPr="00A846F2">
        <w:rPr>
          <w:rFonts w:ascii="Arial" w:eastAsia="Times New Roman" w:hAnsi="Arial" w:cs="Arial"/>
          <w:sz w:val="36"/>
          <w:szCs w:val="36"/>
        </w:rPr>
        <w:t>( 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 البقرة: ٤٠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، وقوله تعالى : (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لَّا يَتَّخِذِ الْمُؤْمِنُونَ الْكَافِرِينَ أَوْلِيَاءَ مِن دُونِ الْمُؤْمِنِينَ ۖ وَمَن يَفْعَلْ ذَٰلِكَ فَلَيْسَ مِنَ اللَّهِ فِي شَيْءٍ إِلَّا أَن تَتَّقُوا مِنْهُمْ تُقَاةً ۗ وَيُحَذِّرُكُمُ اللَّهُ نَفْسَهُ ۗ وَإِلَى اللَّهِ الْمَصِيرُ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) </w:t>
      </w:r>
      <w:r w:rsidRPr="00A846F2">
        <w:rPr>
          <w:rFonts w:ascii="Arial" w:eastAsia="Times New Roman" w:hAnsi="Arial" w:cs="Arial"/>
          <w:sz w:val="36"/>
          <w:szCs w:val="36"/>
          <w:rtl/>
        </w:rPr>
        <w:t>آل عمران: ٢٨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، وقوله تعالى : (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إِنَّمَا ذَٰلِكُمُ الشَّيْطَانُ يُخَوِّفُ أَوْلِيَاءَهُ فَلَا تَخَافُوهُمْ وَخَافُونِ إِن كُنتُم مُّؤْمِنِينَ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) </w:t>
      </w:r>
      <w:r w:rsidRPr="00A846F2">
        <w:rPr>
          <w:rFonts w:ascii="Arial" w:eastAsia="Times New Roman" w:hAnsi="Arial" w:cs="Arial"/>
          <w:sz w:val="36"/>
          <w:szCs w:val="36"/>
          <w:rtl/>
        </w:rPr>
        <w:t>آل عمران: ١٧٥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، وقوله تعالى : (</w:t>
      </w:r>
      <w:r w:rsidRPr="00A846F2">
        <w:rPr>
          <w:rFonts w:ascii="Arial" w:eastAsia="Times New Roman" w:hAnsi="Arial" w:cs="Arial"/>
          <w:sz w:val="36"/>
          <w:szCs w:val="36"/>
        </w:rPr>
        <w:t> 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أَفَأَمِنُوا مَكْرَ اللَّهِ ۚ فَلَا يَأْمَنُ مَكْرَ اللَّهِ إِلَّا الْقَوْمُ الْخَاسِرُونَ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) </w:t>
      </w:r>
      <w:r w:rsidRPr="00A846F2">
        <w:rPr>
          <w:rFonts w:ascii="Arial" w:eastAsia="Times New Roman" w:hAnsi="Arial" w:cs="Arial"/>
          <w:sz w:val="36"/>
          <w:szCs w:val="36"/>
          <w:rtl/>
        </w:rPr>
        <w:t>الأعراف: ٩٩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ومع أن الأصل في الترهيب أن يكون بالله وبصفاته ، فإن</w:t>
      </w:r>
      <w:r w:rsidR="002163A1">
        <w:rPr>
          <w:rFonts w:ascii="Arial" w:eastAsia="Times New Roman" w:hAnsi="Arial" w:cs="Arial" w:hint="cs"/>
          <w:sz w:val="36"/>
          <w:szCs w:val="36"/>
          <w:rtl/>
        </w:rPr>
        <w:t>ه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 يجوز أن يكون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بما يصيب الناس من عذابه تعالى في الدنيا والآخرة في حالة الكفر بالله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تعالى ،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>و</w:t>
      </w:r>
      <w:r w:rsidRPr="00A846F2">
        <w:rPr>
          <w:rFonts w:ascii="Arial" w:eastAsia="Times New Roman" w:hAnsi="Arial" w:cs="Arial"/>
          <w:sz w:val="36"/>
          <w:szCs w:val="36"/>
          <w:rtl/>
        </w:rPr>
        <w:t>في حالة ضعف الإيمان ومقارفة المعاصي والغفلة من العبد على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أن لا يغفل الداعي أبداً عن الترهيب بالله سبحانه اقتداء بقوله تعالى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>: (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وَلَنُسْكِنَنَّكُمُ الْأَرْضَ مِن بَعْدِهِمْ ۚ ذَٰلِكَ لِمَنْ خَافَ مَقَامِي وَخَافَ وَعِيدِ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) </w:t>
      </w:r>
      <w:r w:rsidRPr="00A846F2">
        <w:rPr>
          <w:rFonts w:ascii="Arial" w:eastAsia="Times New Roman" w:hAnsi="Arial" w:cs="Arial"/>
          <w:sz w:val="36"/>
          <w:szCs w:val="36"/>
          <w:rtl/>
        </w:rPr>
        <w:t>إبراهيم: ١٤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. </w:t>
      </w: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lastRenderedPageBreak/>
        <w:t xml:space="preserve">ضرورة مراعاة معتقدات المدعوين وأحوالهم : </w:t>
      </w:r>
    </w:p>
    <w:p w:rsidR="00941CD0" w:rsidRPr="00A846F2" w:rsidRDefault="00941CD0" w:rsidP="00251FA7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فالداعية قد يجد بين يديه مدعوين مطيعين ينفذون ما يأمرهم به ، وقد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يواجه أناساً جاهلين بربهم ، متمردين عليه ، نافرين من الحق ، مقبلين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على الدنيا أو على الأقل لا يهتمون بما يدعوهم إليه من الخير ، ولا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يحسون بحاجة إليه ، أضف إلى ذلك أن أحوال الناس وأهواءهم مختلفة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متضاربة و أمراضهم متنوعة ، فهو لا ولن يوفق في ترهيبه ولا ينجح في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تخويفه حتى يحيط معرفة بمن يدعوهم ليعطي كل طائفة حقها ، وينزل كل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فئة منزلتها و يخاطب كل صنف حسب فهمه وإدراكه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 ، ولهذا قال علي بن أبي طالب </w:t>
      </w:r>
      <w:r w:rsidRPr="00A846F2">
        <w:rPr>
          <w:rFonts w:ascii="Arial" w:eastAsia="Times New Roman" w:hAnsi="Arial" w:cs="Arial" w:hint="cs"/>
          <w:sz w:val="36"/>
          <w:szCs w:val="36"/>
        </w:rPr>
        <w:sym w:font="AGA Arabesque" w:char="F074"/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: " </w:t>
      </w:r>
      <w:r w:rsidRPr="00A846F2">
        <w:rPr>
          <w:rFonts w:ascii="Arial" w:eastAsia="Times New Roman" w:hAnsi="Arial" w:cs="Arial"/>
          <w:sz w:val="36"/>
          <w:szCs w:val="36"/>
          <w:rtl/>
        </w:rPr>
        <w:t>حدثوا الناس بما يعرفون أتحبون أن يكذب الله ورسوله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"  .</w:t>
      </w:r>
      <w:r w:rsidR="00251FA7">
        <w:rPr>
          <w:rFonts w:ascii="Arial" w:eastAsia="Times New Roman" w:hAnsi="Arial" w:cs="Arial" w:hint="cs"/>
          <w:sz w:val="36"/>
          <w:szCs w:val="36"/>
          <w:rtl/>
        </w:rPr>
        <w:t xml:space="preserve"> (البخاري : 127)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ضرورة التدرج وترتيب الأولويات عند الترهيب :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فالترهيب يضع لنفسه أولويات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>ويراعى عند التحذير من المعاصي أن يقدم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الأمر الأهم على المهم والأصل على الفرع ، فهو يقدم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>أ</w:t>
      </w:r>
      <w:r w:rsidRPr="00A846F2">
        <w:rPr>
          <w:rFonts w:ascii="Arial" w:eastAsia="Times New Roman" w:hAnsi="Arial" w:cs="Arial"/>
          <w:sz w:val="36"/>
          <w:szCs w:val="36"/>
          <w:rtl/>
        </w:rPr>
        <w:t>مور العقائد على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غيرها من العبادات والأخلاق ، ويقدم الفروض على المندوبات والنوافل،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والمحرمات على المكروهات،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والمصالح العامة على المصالح الخاصة عند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التعارض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. </w:t>
      </w:r>
    </w:p>
    <w:p w:rsidR="003C2AB9" w:rsidRPr="003C2AB9" w:rsidRDefault="00941CD0" w:rsidP="003C2AB9">
      <w:pPr>
        <w:pStyle w:val="a3"/>
        <w:rPr>
          <w:color w:val="FF0000"/>
          <w:sz w:val="28"/>
          <w:szCs w:val="28"/>
          <w:rtl/>
        </w:rPr>
      </w:pP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والمتأمل في دعوة النبي </w:t>
      </w:r>
      <w:r w:rsidRPr="00A846F2">
        <w:rPr>
          <w:rFonts w:ascii="Arial" w:eastAsia="Times New Roman" w:hAnsi="Arial" w:cs="Arial" w:hint="cs"/>
          <w:sz w:val="36"/>
          <w:szCs w:val="36"/>
        </w:rPr>
        <w:sym w:font="AGA Arabesque" w:char="F072"/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يجد أنه قد ابتدأ دعوته بالأهم فالمهم من أمور الدعوة ومسائلها ، وأول ما بدأ به الدعوة إلى التوحيد وإلى أن يعبد الله تعالى وحده دون شريك ، وأن ينزه عن كل الأنداد ، وأن يخلص العبادة له وحده ، وأن يجرد كل أمور الإيمان لله تعالى ، ثم انتقل إلى الدعوة إلى بقية أمور الدين وأحكامه وأخلاقه </w:t>
      </w:r>
      <w:r w:rsidR="003C2AB9">
        <w:rPr>
          <w:rFonts w:ascii="Arial" w:eastAsia="Times New Roman" w:hAnsi="Arial" w:cs="Arial" w:hint="cs"/>
          <w:sz w:val="36"/>
          <w:szCs w:val="36"/>
          <w:rtl/>
        </w:rPr>
        <w:t xml:space="preserve">. ( </w:t>
      </w:r>
      <w:r w:rsidR="003C2AB9" w:rsidRPr="003C2AB9">
        <w:rPr>
          <w:rFonts w:hint="cs"/>
          <w:color w:val="FF0000"/>
          <w:sz w:val="28"/>
          <w:szCs w:val="28"/>
          <w:rtl/>
        </w:rPr>
        <w:t>- منهج النبي في الدعوة ، أ . د محمد أمحزون ، دار السلام ، القاهرة ، ط الثانية 1424 ه ، ص 21 وما بعدها .</w:t>
      </w:r>
      <w:r w:rsidR="003C2AB9" w:rsidRPr="003C2AB9">
        <w:rPr>
          <w:rFonts w:hint="cs"/>
          <w:color w:val="FF0000"/>
          <w:sz w:val="28"/>
          <w:szCs w:val="28"/>
          <w:rtl/>
        </w:rPr>
        <w:t xml:space="preserve">) </w:t>
      </w:r>
      <w:r w:rsidR="003C2AB9" w:rsidRPr="003C2AB9">
        <w:rPr>
          <w:rFonts w:hint="cs"/>
          <w:color w:val="FF0000"/>
          <w:sz w:val="28"/>
          <w:szCs w:val="28"/>
          <w:rtl/>
        </w:rPr>
        <w:t xml:space="preserve"> </w:t>
      </w:r>
    </w:p>
    <w:p w:rsidR="00941CD0" w:rsidRPr="003C2AB9" w:rsidRDefault="00941CD0" w:rsidP="003C2AB9">
      <w:pPr>
        <w:spacing w:after="0" w:line="240" w:lineRule="atLeast"/>
        <w:jc w:val="both"/>
        <w:rPr>
          <w:rFonts w:ascii="Arial" w:eastAsia="Times New Roman" w:hAnsi="Arial" w:cs="Arial"/>
          <w:color w:val="FF0000"/>
          <w:sz w:val="28"/>
          <w:szCs w:val="28"/>
          <w:rtl/>
        </w:rPr>
      </w:pP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</w:rPr>
      </w:pPr>
      <w:r w:rsidRPr="00A846F2">
        <w:rPr>
          <w:rFonts w:ascii="Arial" w:eastAsia="Times New Roman" w:hAnsi="Arial" w:cs="Arial"/>
          <w:b/>
          <w:bCs/>
          <w:sz w:val="36"/>
          <w:szCs w:val="36"/>
          <w:rtl/>
        </w:rPr>
        <w:t>مراعاة وجود بديل عن الأمر المرهب منه إذا كان أمراً غريزياً</w:t>
      </w: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b/>
          <w:bCs/>
          <w:sz w:val="36"/>
          <w:szCs w:val="36"/>
          <w:rtl/>
        </w:rPr>
        <w:t>ويشترط أن يكون من المنهج الإسلامي الصحيح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 :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</w:p>
    <w:p w:rsidR="00941CD0" w:rsidRPr="003C2AB9" w:rsidRDefault="00941CD0" w:rsidP="003C2AB9">
      <w:pPr>
        <w:spacing w:after="0" w:line="240" w:lineRule="atLeast"/>
        <w:jc w:val="both"/>
        <w:rPr>
          <w:rFonts w:ascii="Arial" w:eastAsia="Times New Roman" w:hAnsi="Arial" w:cs="Arial"/>
          <w:color w:val="FF0000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وذلك حتى لا يتهم الداعية بالمثالية البعيدة عن الواقع ، وحتى يتأكد للعامة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والخاصة أن المشرع والخالق واحد ، فما أغفل المشرع حاجة من حاجيات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البشر . مثال ذلك : إن رهب الداعية من كبيرة الزنا  والعياذ بالله  عليه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في ذات الوقت أن يأتي بالبديل وهو النكاح للمستطيع ، أو صوم لمن لا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يستطيع ،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ف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عن علقمة قال كنت مع عبد الله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فلقيه عثمان بمنى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فقال يا أبا عبد الرحمن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إن لي إليك حاجة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فخلوا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فقال عثمان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: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هل لك يا أبا عبد الرحمن في أن نزوجك بكرا تذكرك ما كنت تعهد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؟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فلما رأى عبد الله أن ليس له حاجة إلى هذا أشار إلي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>فقال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: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 يا علقمة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فانتهيت إليه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وهو يقول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: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أما لئن قلت ذلك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لقد قال لنا النبي </w:t>
      </w:r>
      <w:r w:rsidRPr="00A846F2">
        <w:rPr>
          <w:rFonts w:ascii="Arial" w:eastAsia="Times New Roman" w:hAnsi="Arial" w:cs="Arial"/>
          <w:sz w:val="36"/>
          <w:szCs w:val="36"/>
        </w:rPr>
        <w:sym w:font="AGA Arabesque" w:char="F072"/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يا معشر الشباب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من استطاع منكم </w:t>
      </w:r>
      <w:r w:rsidRPr="00A846F2">
        <w:rPr>
          <w:rFonts w:ascii="Arial" w:eastAsia="Times New Roman" w:hAnsi="Arial" w:cs="Arial"/>
          <w:sz w:val="36"/>
          <w:szCs w:val="36"/>
          <w:rtl/>
        </w:rPr>
        <w:lastRenderedPageBreak/>
        <w:t xml:space="preserve">الباءة فليتزوج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 xml:space="preserve">ومن لم يستطع فعليه بالصوم 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، </w:t>
      </w:r>
      <w:r w:rsidRPr="00A846F2">
        <w:rPr>
          <w:rFonts w:ascii="Arial" w:eastAsia="Times New Roman" w:hAnsi="Arial" w:cs="Arial"/>
          <w:sz w:val="36"/>
          <w:szCs w:val="36"/>
          <w:rtl/>
        </w:rPr>
        <w:t>فإنه له وجاء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3C2AB9">
        <w:rPr>
          <w:rFonts w:ascii="Arial" w:eastAsia="Times New Roman" w:hAnsi="Arial" w:cs="Arial" w:hint="cs"/>
          <w:color w:val="FF0000"/>
          <w:sz w:val="36"/>
          <w:szCs w:val="36"/>
          <w:rtl/>
        </w:rPr>
        <w:t xml:space="preserve">". </w:t>
      </w:r>
      <w:r w:rsidR="003C2AB9" w:rsidRPr="003C2AB9">
        <w:rPr>
          <w:rFonts w:ascii="Arial" w:eastAsia="Times New Roman" w:hAnsi="Arial" w:cs="Arial" w:hint="cs"/>
          <w:color w:val="FF0000"/>
          <w:sz w:val="36"/>
          <w:szCs w:val="36"/>
          <w:rtl/>
        </w:rPr>
        <w:t xml:space="preserve">( البخاري :5065 ، ومسلم : 1400 )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</w:p>
    <w:p w:rsidR="00941CD0" w:rsidRPr="00A846F2" w:rsidRDefault="00941CD0" w:rsidP="00941CD0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A846F2">
        <w:rPr>
          <w:rFonts w:ascii="Arial" w:eastAsia="Times New Roman" w:hAnsi="Arial" w:cs="Arial"/>
          <w:b/>
          <w:bCs/>
          <w:sz w:val="36"/>
          <w:szCs w:val="36"/>
          <w:rtl/>
        </w:rPr>
        <w:t>مراعاة ما</w:t>
      </w: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b/>
          <w:bCs/>
          <w:sz w:val="36"/>
          <w:szCs w:val="36"/>
          <w:rtl/>
        </w:rPr>
        <w:t>يترتب على استخدام الترهيب :</w:t>
      </w:r>
      <w:r w:rsidRPr="00A846F2">
        <w:rPr>
          <w:rFonts w:ascii="Arial" w:eastAsia="Times New Roman" w:hAnsi="Arial" w:cs="Arial" w:hint="cs"/>
          <w:b/>
          <w:bCs/>
          <w:sz w:val="36"/>
          <w:szCs w:val="36"/>
          <w:rtl/>
        </w:rPr>
        <w:t xml:space="preserve">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  <w:r w:rsidRPr="00A846F2">
        <w:rPr>
          <w:rFonts w:ascii="Arial" w:eastAsia="Times New Roman" w:hAnsi="Arial" w:cs="Arial"/>
          <w:sz w:val="36"/>
          <w:szCs w:val="36"/>
          <w:rtl/>
        </w:rPr>
        <w:t>ينبغي للداعية عندما يلجأ إلى الترهيب في الدعوة إلى الله أن يوازن بين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ما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يحصل من مفاسد،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ما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يترتب على ترهيبه من مصالح ،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إذ لابد أن تكون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المصلحة الترهيبية راجحة على المفسدة ،لأن هذا هو الذي يحبه الله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يرضاه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وبهذا بعثت الرسل وأنزلت الكتب لذا إن تأكد للداعية حدوث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</w:t>
      </w:r>
      <w:r w:rsidRPr="00A846F2">
        <w:rPr>
          <w:rFonts w:ascii="Arial" w:eastAsia="Times New Roman" w:hAnsi="Arial" w:cs="Arial"/>
          <w:sz w:val="36"/>
          <w:szCs w:val="36"/>
          <w:rtl/>
        </w:rPr>
        <w:t>مفسدة أعظم من التي أراد إزالتها بسبب ترهيبه فليس له أن يرهب</w:t>
      </w: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 . </w:t>
      </w:r>
    </w:p>
    <w:p w:rsidR="00941CD0" w:rsidRPr="00FE0BEF" w:rsidRDefault="00941CD0" w:rsidP="00FE0BEF">
      <w:pPr>
        <w:spacing w:after="0" w:line="240" w:lineRule="atLeast"/>
        <w:jc w:val="both"/>
        <w:rPr>
          <w:rFonts w:ascii="Arial" w:eastAsia="Times New Roman" w:hAnsi="Arial" w:cs="Arial"/>
          <w:color w:val="FF0000"/>
          <w:sz w:val="28"/>
          <w:szCs w:val="28"/>
          <w:rtl/>
        </w:rPr>
      </w:pPr>
      <w:r w:rsidRPr="00A846F2">
        <w:rPr>
          <w:rFonts w:ascii="Arial" w:eastAsia="Times New Roman" w:hAnsi="Arial" w:cs="Arial" w:hint="cs"/>
          <w:sz w:val="36"/>
          <w:szCs w:val="36"/>
          <w:rtl/>
        </w:rPr>
        <w:t xml:space="preserve">فإذا تعرضت مفسدة ومصلحة ، قدم دفع المفسدة غالبا ؛ لأن اعتناء الشارع بالمنهيات أشد من اعتنائه بالمأمورات  . </w:t>
      </w:r>
      <w:r w:rsidR="008827A7" w:rsidRPr="00FE0BEF">
        <w:rPr>
          <w:rFonts w:ascii="Arial" w:eastAsia="Times New Roman" w:hAnsi="Arial" w:cs="Arial" w:hint="cs"/>
          <w:color w:val="FF0000"/>
          <w:sz w:val="28"/>
          <w:szCs w:val="28"/>
          <w:rtl/>
        </w:rPr>
        <w:t>(</w:t>
      </w:r>
      <w:r w:rsidR="00FE0BEF">
        <w:rPr>
          <w:rFonts w:hint="cs"/>
          <w:color w:val="FF0000"/>
          <w:sz w:val="28"/>
          <w:szCs w:val="28"/>
          <w:rtl/>
        </w:rPr>
        <w:t xml:space="preserve"> </w:t>
      </w:r>
      <w:r w:rsidR="008827A7" w:rsidRPr="00FE0BEF">
        <w:rPr>
          <w:rFonts w:hint="cs"/>
          <w:color w:val="FF0000"/>
          <w:sz w:val="28"/>
          <w:szCs w:val="28"/>
          <w:rtl/>
        </w:rPr>
        <w:t>شرح القواعد الفقهية ، الشيخ أحمد بن محمد الزرقا ، دار القلم ، دمشق ، ط الرابعة 1417 ه ، ص 205 .</w:t>
      </w:r>
      <w:r w:rsidR="00FE0BEF" w:rsidRPr="00FE0BEF">
        <w:rPr>
          <w:rFonts w:ascii="Arial" w:eastAsia="Times New Roman" w:hAnsi="Arial" w:cs="Arial" w:hint="cs"/>
          <w:color w:val="FF0000"/>
          <w:sz w:val="28"/>
          <w:szCs w:val="28"/>
          <w:rtl/>
        </w:rPr>
        <w:t xml:space="preserve"> ) </w:t>
      </w:r>
    </w:p>
    <w:p w:rsidR="00941CD0" w:rsidRPr="00A846F2" w:rsidRDefault="00941CD0" w:rsidP="00941CD0">
      <w:pPr>
        <w:spacing w:after="0" w:line="240" w:lineRule="atLeast"/>
        <w:jc w:val="both"/>
        <w:rPr>
          <w:rFonts w:ascii="Arial" w:eastAsia="Times New Roman" w:hAnsi="Arial" w:cs="Arial"/>
          <w:sz w:val="36"/>
          <w:szCs w:val="36"/>
          <w:rtl/>
        </w:rPr>
      </w:pPr>
    </w:p>
    <w:p w:rsidR="00941CD0" w:rsidRPr="00A846F2" w:rsidRDefault="009F248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هذا وصلى الله على سيدنا محمد وعلى آله وصحبه أجمعين . </w:t>
      </w:r>
      <w:bookmarkStart w:id="0" w:name="_GoBack"/>
      <w:bookmarkEnd w:id="0"/>
    </w:p>
    <w:sectPr w:rsidR="00941CD0" w:rsidRPr="00A846F2" w:rsidSect="00772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34" w:rsidRDefault="00D52D34" w:rsidP="00941CD0">
      <w:pPr>
        <w:spacing w:after="0" w:line="240" w:lineRule="auto"/>
      </w:pPr>
      <w:r>
        <w:separator/>
      </w:r>
    </w:p>
  </w:endnote>
  <w:endnote w:type="continuationSeparator" w:id="0">
    <w:p w:rsidR="00D52D34" w:rsidRDefault="00D52D34" w:rsidP="0094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34" w:rsidRDefault="00D52D34" w:rsidP="00941CD0">
      <w:pPr>
        <w:spacing w:after="0" w:line="240" w:lineRule="auto"/>
      </w:pPr>
      <w:r>
        <w:separator/>
      </w:r>
    </w:p>
  </w:footnote>
  <w:footnote w:type="continuationSeparator" w:id="0">
    <w:p w:rsidR="00D52D34" w:rsidRDefault="00D52D34" w:rsidP="0094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1A6"/>
    <w:multiLevelType w:val="hybridMultilevel"/>
    <w:tmpl w:val="507AAAAC"/>
    <w:lvl w:ilvl="0" w:tplc="B4F24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D0"/>
    <w:rsid w:val="000455B7"/>
    <w:rsid w:val="002163A1"/>
    <w:rsid w:val="00251FA7"/>
    <w:rsid w:val="003C2AB9"/>
    <w:rsid w:val="00772B5D"/>
    <w:rsid w:val="008827A7"/>
    <w:rsid w:val="00941CD0"/>
    <w:rsid w:val="009F2486"/>
    <w:rsid w:val="00A846F2"/>
    <w:rsid w:val="00AE61DF"/>
    <w:rsid w:val="00BF053E"/>
    <w:rsid w:val="00D52D34"/>
    <w:rsid w:val="00E95AE9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AFFAE"/>
  <w15:chartTrackingRefBased/>
  <w15:docId w15:val="{5097458E-1ED9-4972-BD4D-58073EAB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41CD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41CD0"/>
    <w:rPr>
      <w:sz w:val="20"/>
      <w:szCs w:val="20"/>
    </w:rPr>
  </w:style>
  <w:style w:type="character" w:styleId="a4">
    <w:name w:val="footnote reference"/>
    <w:semiHidden/>
    <w:rsid w:val="00941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2019-01-25T19:47:00Z</dcterms:created>
  <dcterms:modified xsi:type="dcterms:W3CDTF">2019-01-25T20:06:00Z</dcterms:modified>
</cp:coreProperties>
</file>